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84840B" w14:textId="77777777" w:rsidR="009D1CD5" w:rsidRPr="009D1CD5" w:rsidRDefault="009D1CD5" w:rsidP="009D1CD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1CD5">
        <w:rPr>
          <w:rFonts w:ascii="Times New Roman" w:hAnsi="Times New Roman" w:cs="Times New Roman"/>
          <w:b/>
          <w:sz w:val="28"/>
          <w:szCs w:val="28"/>
        </w:rPr>
        <w:t>ОТЗЫВ</w:t>
      </w:r>
    </w:p>
    <w:p w14:paraId="46CA4D3F" w14:textId="77777777" w:rsidR="009D1CD5" w:rsidRPr="009D1CD5" w:rsidRDefault="009D1CD5" w:rsidP="009D1C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t xml:space="preserve">на автореферат диссертации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Балалина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Сергея Викторовича «Система диагностики и лечения первичной открытоугольной глаукомы с использованием гемодинамических критериев в оценке их эффективности», представленной на соискание учёной степени доктора медицинских наук по специальности 14.01.07 – глазные болезни.</w:t>
      </w:r>
    </w:p>
    <w:p w14:paraId="5A024D04" w14:textId="77777777" w:rsidR="009D1CD5" w:rsidRPr="009D1CD5" w:rsidRDefault="009D1CD5" w:rsidP="009D1CD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5517835" w14:textId="77777777" w:rsidR="009D1CD5" w:rsidRPr="009D1CD5" w:rsidRDefault="009D1CD5" w:rsidP="009D1CD5">
      <w:pPr>
        <w:pStyle w:val="a7"/>
        <w:shd w:val="clear" w:color="auto" w:fill="FFFFFF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t>Исследование индивидуально переносимого внутриглазного давления имеет клиническое значение, как в диагностике, так и в лечении больных первичной открытоугольной глаукомы потому, что позволяет определить диапазон индивидуальной нормы офтальмотонуса для конкретного пациента.</w:t>
      </w:r>
    </w:p>
    <w:p w14:paraId="417D565B" w14:textId="5007B96D" w:rsidR="009D1CD5" w:rsidRPr="009D1CD5" w:rsidRDefault="009D1CD5" w:rsidP="009D1CD5">
      <w:pPr>
        <w:pStyle w:val="a7"/>
        <w:shd w:val="clear" w:color="auto" w:fill="FFFFFF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t xml:space="preserve">Диссертационная работа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Балалина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С.В. включает наиболее актуальные проблемы первичной открытоугольной глаукомы: создание алгоритма диагностики и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патогенетически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ориентированного лечения с учётом результатов исследования объективных показателей не только гидродинамики, но и гемодинамики глаза, определения индивидуально переносимого (толерантного) уровня внутриглазного давления, исследования чувствительности зрительного нерва к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интолерантному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внутриглазному давлению. </w:t>
      </w:r>
      <w:r w:rsidRPr="009D1CD5">
        <w:rPr>
          <w:rFonts w:ascii="Times New Roman" w:hAnsi="Times New Roman" w:cs="Times New Roman"/>
          <w:bCs/>
          <w:sz w:val="28"/>
          <w:szCs w:val="28"/>
        </w:rPr>
        <w:t xml:space="preserve">В представленном автореферате четко сформулирована цель исследования, определены конкретные задачи, каждая </w:t>
      </w:r>
      <w:bookmarkStart w:id="0" w:name="_GoBack"/>
      <w:bookmarkEnd w:id="0"/>
      <w:r w:rsidRPr="009D1CD5">
        <w:rPr>
          <w:rFonts w:ascii="Times New Roman" w:hAnsi="Times New Roman" w:cs="Times New Roman"/>
          <w:bCs/>
          <w:sz w:val="28"/>
          <w:szCs w:val="28"/>
        </w:rPr>
        <w:t xml:space="preserve">из которых представляет отдельное  крупное направление в общей теме. Автором </w:t>
      </w:r>
      <w:r w:rsidRPr="009D1CD5">
        <w:rPr>
          <w:rFonts w:ascii="Times New Roman" w:hAnsi="Times New Roman" w:cs="Times New Roman"/>
          <w:sz w:val="28"/>
          <w:szCs w:val="28"/>
        </w:rPr>
        <w:t xml:space="preserve">установлены наиболее информативные показатели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офтальмосфигмографии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и определены их параметры для определения толерантного внутриглазного давления у больных первичной открытоугольной глаукомой: показатель эластичности внутриглазных сосудов (ПЭСГ) от 1,3 до 2,4 мм</w:t>
      </w:r>
      <w:r w:rsidRPr="009D1CD5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9D1CD5">
        <w:rPr>
          <w:rFonts w:ascii="Times New Roman" w:hAnsi="Times New Roman" w:cs="Times New Roman"/>
          <w:sz w:val="28"/>
          <w:szCs w:val="28"/>
        </w:rPr>
        <w:t xml:space="preserve">/мм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рт.ст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., показатель адекватности кровоснабжения глаза (ПАК) от 0,3 до 0,8 мм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рт.ст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>./мм</w:t>
      </w:r>
      <w:r w:rsidRPr="009D1CD5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9D1CD5">
        <w:rPr>
          <w:rFonts w:ascii="Times New Roman" w:hAnsi="Times New Roman" w:cs="Times New Roman"/>
          <w:sz w:val="28"/>
          <w:szCs w:val="28"/>
        </w:rPr>
        <w:t xml:space="preserve"> и индекс адекватности кровоснабжения глаза (ИАКГ) от 3,9 до 12,0 мм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рт.ст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>./мм</w:t>
      </w:r>
      <w:r w:rsidRPr="009D1CD5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9D1CD5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066B761" w14:textId="77777777" w:rsidR="009D1CD5" w:rsidRPr="009D1CD5" w:rsidRDefault="009D1CD5" w:rsidP="009D1C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lastRenderedPageBreak/>
        <w:t xml:space="preserve">Впервые определена многофакторная зависимость толерантного внутриглазного давления у больных первичной открытоугольной глаукомой от системного артериального давления, возраста пациента, центральной толщины роговицы, переднезаднего размера глазного яблока, стадии глаукомы, разработаны математическая модель, итоговые таблицы и программное обеспечение для определения толерантного и целевого внутриглазного давления. Автором определен диапазон толерантного давления у  больных первичной открытоугольной глаукомой: от 13,5 до 19,6 мм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рт.ст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>. Разработанные итоговые таблицы и программное обеспечение для определения толерантного внутриглазного давления могут быть использованы в работе поликлиник и офтальмологических стационаров.</w:t>
      </w:r>
    </w:p>
    <w:p w14:paraId="7F95C14D" w14:textId="3B94E367" w:rsidR="009D1CD5" w:rsidRPr="009D1CD5" w:rsidRDefault="009D1CD5" w:rsidP="009D1C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t xml:space="preserve">Автором впервые  на основании исследования толерантного давления, гемодинамики глаза и морфометрического анализа состояния диска зрительного нерва введено понятие толерантности зрительного нерва к внутриглазному давлению, которое определяется морфофункциональной сохранностью зрительного нерва и нормализацией эластичности внутриглазных сосудов при значениях ВГД, не превышающих толерантное давление. Установлено, что целевое внутриглазное давление ниже толерантного давления и находится в диапазоне от 11 до 17 мм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рт.ст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>.</w:t>
      </w:r>
    </w:p>
    <w:p w14:paraId="2F25A89A" w14:textId="77777777" w:rsidR="009D1CD5" w:rsidRPr="009D1CD5" w:rsidRDefault="009D1CD5" w:rsidP="009D1C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t xml:space="preserve">Автором впервые введено понятие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интолерантности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зрительного нерва к внутриглазному давлению, которое определяется чувствительностью зрительного нерва к повышенному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интолерантному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уровню внутриглазного давления, вызывающему в глазу морфофункциональные и гемодинамические нарушения. Впервые разработан способ исследования чувствительности зрительного нерва к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интолерантному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внутриглазному давлению для диагностики глазной гипертензии, начальной стадии первичной открытоугольной глаукомы и  глаукомы нормального давления по данным статической автоматизированной селективной периметрии. </w:t>
      </w:r>
    </w:p>
    <w:p w14:paraId="52C1E6F3" w14:textId="77777777" w:rsidR="009D1CD5" w:rsidRPr="009D1CD5" w:rsidRDefault="009D1CD5" w:rsidP="009D1C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lastRenderedPageBreak/>
        <w:t xml:space="preserve">Автором впервые определены значения индекса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интолерантности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внутриглазного давления, позволяющие прогнозировать скорость прогрессирования глаукомного процесса.</w:t>
      </w:r>
    </w:p>
    <w:p w14:paraId="73C5CB4C" w14:textId="77777777" w:rsidR="009D1CD5" w:rsidRPr="009D1CD5" w:rsidRDefault="009D1CD5" w:rsidP="009D1C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t xml:space="preserve">На основании мониторинга доказано преимущество исследования показателей гемодинамики глаза для определения толерантного внутриглазного давления и оценки эффективности медикаментозного лечения, селективной лазерной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трабекулопластики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микроинвазивной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непроникающей глубокой </w:t>
      </w:r>
      <w:proofErr w:type="spellStart"/>
      <w:r w:rsidRPr="009D1CD5">
        <w:rPr>
          <w:rFonts w:ascii="Times New Roman" w:hAnsi="Times New Roman" w:cs="Times New Roman"/>
          <w:sz w:val="28"/>
          <w:szCs w:val="28"/>
        </w:rPr>
        <w:t>склерэктомии</w:t>
      </w:r>
      <w:proofErr w:type="spellEnd"/>
      <w:r w:rsidRPr="009D1CD5">
        <w:rPr>
          <w:rFonts w:ascii="Times New Roman" w:hAnsi="Times New Roman" w:cs="Times New Roman"/>
          <w:sz w:val="28"/>
          <w:szCs w:val="28"/>
        </w:rPr>
        <w:t xml:space="preserve"> у больных первичной открытоугольной глаукомой.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1CD5">
        <w:rPr>
          <w:rFonts w:ascii="Times New Roman" w:hAnsi="Times New Roman" w:cs="Times New Roman"/>
          <w:bCs/>
          <w:sz w:val="28"/>
          <w:szCs w:val="28"/>
        </w:rPr>
        <w:t xml:space="preserve">Подход к лечению с позиции толерантности и </w:t>
      </w:r>
      <w:proofErr w:type="spellStart"/>
      <w:r w:rsidRPr="009D1CD5">
        <w:rPr>
          <w:rFonts w:ascii="Times New Roman" w:hAnsi="Times New Roman" w:cs="Times New Roman"/>
          <w:bCs/>
          <w:sz w:val="28"/>
          <w:szCs w:val="28"/>
        </w:rPr>
        <w:t>интолерантности</w:t>
      </w:r>
      <w:proofErr w:type="spellEnd"/>
      <w:r w:rsidRPr="009D1CD5">
        <w:rPr>
          <w:rFonts w:ascii="Times New Roman" w:hAnsi="Times New Roman" w:cs="Times New Roman"/>
          <w:bCs/>
          <w:sz w:val="28"/>
          <w:szCs w:val="28"/>
        </w:rPr>
        <w:t xml:space="preserve"> зрительного нерва к внутриглазному давлению позволил </w:t>
      </w:r>
      <w:r w:rsidR="00DA508F" w:rsidRPr="009D1CD5">
        <w:rPr>
          <w:rFonts w:ascii="Times New Roman" w:hAnsi="Times New Roman" w:cs="Times New Roman"/>
          <w:bCs/>
          <w:sz w:val="28"/>
          <w:szCs w:val="28"/>
        </w:rPr>
        <w:t>обоснованно и своевременно применять лазерные  и хирургические технологии в лечении первичной открытоугольной глаукомы</w:t>
      </w:r>
      <w:r w:rsidR="00DA508F"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="00DA508F" w:rsidRPr="009D1CD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D1CD5">
        <w:rPr>
          <w:rFonts w:ascii="Times New Roman" w:hAnsi="Times New Roman" w:cs="Times New Roman"/>
          <w:bCs/>
          <w:sz w:val="28"/>
          <w:szCs w:val="28"/>
        </w:rPr>
        <w:t xml:space="preserve">достичь стабилизации  зрительных функций </w:t>
      </w:r>
      <w:r w:rsidR="00DA508F">
        <w:rPr>
          <w:rFonts w:ascii="Times New Roman" w:hAnsi="Times New Roman" w:cs="Times New Roman"/>
          <w:bCs/>
          <w:sz w:val="28"/>
          <w:szCs w:val="28"/>
        </w:rPr>
        <w:t>в 94,5% случаях</w:t>
      </w:r>
      <w:r w:rsidRPr="009D1CD5">
        <w:rPr>
          <w:rFonts w:ascii="Times New Roman" w:hAnsi="Times New Roman" w:cs="Times New Roman"/>
          <w:bCs/>
          <w:sz w:val="28"/>
          <w:szCs w:val="28"/>
        </w:rPr>
        <w:t>.</w:t>
      </w:r>
    </w:p>
    <w:p w14:paraId="06150658" w14:textId="77777777" w:rsidR="009D1CD5" w:rsidRPr="009D1CD5" w:rsidRDefault="009D1CD5" w:rsidP="009D1CD5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t>Полученные автором результаты клинико-функциональных исследований свидетельствуют о новизне проведенных исследований, приоритетность которых защищена 13 Патентами РФ. Достаточный объём обследованных пациентов и проведенных лазерных и микрохирургических операций, использованных методов диагностики отражает высокий методологический уровень диссертационной работы.</w:t>
      </w:r>
    </w:p>
    <w:p w14:paraId="6FA10873" w14:textId="77777777" w:rsidR="009D1CD5" w:rsidRPr="009D1CD5" w:rsidRDefault="009D1CD5" w:rsidP="009D1CD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sz w:val="28"/>
          <w:szCs w:val="28"/>
        </w:rPr>
        <w:t>Автореферат и опубликованные 65 научные работы, включая в 3 монографиях и  16 в журналах, рецензируемых ВАК РФ, а также 6 в международной печати полностью отражают содержание диссертационной работы.</w:t>
      </w:r>
    </w:p>
    <w:p w14:paraId="0FCE239C" w14:textId="77777777" w:rsidR="009D1CD5" w:rsidRPr="009D1CD5" w:rsidRDefault="009D1CD5" w:rsidP="009D1CD5">
      <w:pPr>
        <w:pStyle w:val="a5"/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D1CD5">
        <w:rPr>
          <w:rFonts w:ascii="Times New Roman" w:hAnsi="Times New Roman"/>
          <w:b/>
          <w:bCs/>
          <w:sz w:val="28"/>
          <w:szCs w:val="28"/>
        </w:rPr>
        <w:t>Заключение</w:t>
      </w:r>
    </w:p>
    <w:p w14:paraId="7238C6A6" w14:textId="77777777" w:rsidR="009D1CD5" w:rsidRDefault="009D1CD5" w:rsidP="00DA50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bCs/>
          <w:sz w:val="28"/>
          <w:szCs w:val="28"/>
        </w:rPr>
        <w:t xml:space="preserve">Диссертационная работа </w:t>
      </w:r>
      <w:proofErr w:type="spellStart"/>
      <w:r w:rsidRPr="009D1CD5">
        <w:rPr>
          <w:rFonts w:ascii="Times New Roman" w:hAnsi="Times New Roman" w:cs="Times New Roman"/>
          <w:bCs/>
          <w:sz w:val="28"/>
          <w:szCs w:val="28"/>
        </w:rPr>
        <w:t>Балалина</w:t>
      </w:r>
      <w:proofErr w:type="spellEnd"/>
      <w:r w:rsidRPr="009D1CD5">
        <w:rPr>
          <w:rFonts w:ascii="Times New Roman" w:hAnsi="Times New Roman" w:cs="Times New Roman"/>
          <w:bCs/>
          <w:sz w:val="28"/>
          <w:szCs w:val="28"/>
        </w:rPr>
        <w:t xml:space="preserve"> Сергея Викторовича </w:t>
      </w:r>
      <w:r w:rsidRPr="009D1CD5">
        <w:rPr>
          <w:rFonts w:ascii="Times New Roman" w:hAnsi="Times New Roman" w:cs="Times New Roman"/>
          <w:sz w:val="28"/>
          <w:szCs w:val="28"/>
        </w:rPr>
        <w:t>«Система диагностики и лечения перви</w:t>
      </w:r>
      <w:r>
        <w:rPr>
          <w:rFonts w:ascii="Times New Roman" w:hAnsi="Times New Roman" w:cs="Times New Roman"/>
          <w:sz w:val="28"/>
          <w:szCs w:val="28"/>
        </w:rPr>
        <w:t>чной открытоугольной глаукомы с использованием гемодинамических критериев в оценке их эффективности»</w:t>
      </w:r>
    </w:p>
    <w:p w14:paraId="0729CA3D" w14:textId="75D6E5EC" w:rsidR="00DA508F" w:rsidRDefault="00DA508F" w:rsidP="00DA508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CD5">
        <w:rPr>
          <w:rFonts w:ascii="Times New Roman" w:hAnsi="Times New Roman" w:cs="Times New Roman"/>
          <w:bCs/>
          <w:sz w:val="28"/>
          <w:szCs w:val="28"/>
        </w:rPr>
        <w:t>является законченной, научно-квалифицированной работой, в которой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1260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04A9816D" w14:textId="77777777" w:rsidR="00B71260" w:rsidRPr="009D1CD5" w:rsidRDefault="00B71260" w:rsidP="00DA508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273D6EA" w14:textId="503F78D5" w:rsidR="009D1CD5" w:rsidRPr="00F215D5" w:rsidRDefault="00B712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 w:eastAsia="ru-RU"/>
        </w:rPr>
        <w:lastRenderedPageBreak/>
        <w:drawing>
          <wp:inline distT="0" distB="0" distL="0" distR="0" wp14:anchorId="2E0B6503" wp14:editId="53F1901E">
            <wp:extent cx="5939790" cy="8175625"/>
            <wp:effectExtent l="0" t="0" r="381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1CD5" w:rsidRPr="00F215D5" w:rsidSect="00B3493C">
      <w:footerReference w:type="even" r:id="rId8"/>
      <w:footerReference w:type="default" r:id="rId9"/>
      <w:pgSz w:w="11906" w:h="16838" w:code="9"/>
      <w:pgMar w:top="1134" w:right="851" w:bottom="1418" w:left="1701" w:header="567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2904660" w14:textId="77777777" w:rsidR="00BA506B" w:rsidRDefault="00BA506B" w:rsidP="00F52399">
      <w:pPr>
        <w:spacing w:after="0" w:line="240" w:lineRule="auto"/>
      </w:pPr>
      <w:r>
        <w:separator/>
      </w:r>
    </w:p>
  </w:endnote>
  <w:endnote w:type="continuationSeparator" w:id="0">
    <w:p w14:paraId="29175CAA" w14:textId="77777777" w:rsidR="00BA506B" w:rsidRDefault="00BA506B" w:rsidP="00F523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980105" w14:textId="77777777" w:rsidR="00BA506B" w:rsidRDefault="00BA506B" w:rsidP="00BA506B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6983CE8E" w14:textId="77777777" w:rsidR="00BA506B" w:rsidRDefault="00BA506B" w:rsidP="00BA506B">
    <w:pPr>
      <w:pStyle w:val="a8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715E26" w14:textId="77777777" w:rsidR="00BA506B" w:rsidRPr="00645E9E" w:rsidRDefault="00BA506B" w:rsidP="00645E9E">
    <w:pPr>
      <w:pStyle w:val="a8"/>
      <w:framePr w:wrap="around" w:vAnchor="text" w:hAnchor="page" w:x="10942" w:y="141"/>
      <w:rPr>
        <w:rStyle w:val="aa"/>
        <w:rFonts w:ascii="Times New Roman" w:hAnsi="Times New Roman" w:cs="Times New Roman"/>
        <w:sz w:val="24"/>
        <w:szCs w:val="24"/>
      </w:rPr>
    </w:pPr>
    <w:r w:rsidRPr="00645E9E">
      <w:rPr>
        <w:rStyle w:val="aa"/>
        <w:rFonts w:ascii="Times New Roman" w:hAnsi="Times New Roman" w:cs="Times New Roman"/>
        <w:sz w:val="24"/>
        <w:szCs w:val="24"/>
      </w:rPr>
      <w:fldChar w:fldCharType="begin"/>
    </w:r>
    <w:r w:rsidRPr="00645E9E">
      <w:rPr>
        <w:rStyle w:val="aa"/>
        <w:rFonts w:ascii="Times New Roman" w:hAnsi="Times New Roman" w:cs="Times New Roman"/>
        <w:sz w:val="24"/>
        <w:szCs w:val="24"/>
      </w:rPr>
      <w:instrText xml:space="preserve">PAGE  </w:instrText>
    </w:r>
    <w:r w:rsidRPr="00645E9E">
      <w:rPr>
        <w:rStyle w:val="aa"/>
        <w:rFonts w:ascii="Times New Roman" w:hAnsi="Times New Roman" w:cs="Times New Roman"/>
        <w:sz w:val="24"/>
        <w:szCs w:val="24"/>
      </w:rPr>
      <w:fldChar w:fldCharType="separate"/>
    </w:r>
    <w:r w:rsidR="00986454">
      <w:rPr>
        <w:rStyle w:val="aa"/>
        <w:rFonts w:ascii="Times New Roman" w:hAnsi="Times New Roman" w:cs="Times New Roman"/>
        <w:noProof/>
        <w:sz w:val="24"/>
        <w:szCs w:val="24"/>
      </w:rPr>
      <w:t>4</w:t>
    </w:r>
    <w:r w:rsidRPr="00645E9E">
      <w:rPr>
        <w:rStyle w:val="aa"/>
        <w:rFonts w:ascii="Times New Roman" w:hAnsi="Times New Roman" w:cs="Times New Roman"/>
        <w:sz w:val="24"/>
        <w:szCs w:val="24"/>
      </w:rPr>
      <w:fldChar w:fldCharType="end"/>
    </w:r>
  </w:p>
  <w:p w14:paraId="5D593C76" w14:textId="77777777" w:rsidR="00BA506B" w:rsidRDefault="00BA506B" w:rsidP="00BA506B">
    <w:pPr>
      <w:pStyle w:val="a8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F01172B" w14:textId="77777777" w:rsidR="00BA506B" w:rsidRDefault="00BA506B" w:rsidP="00F52399">
      <w:pPr>
        <w:spacing w:after="0" w:line="240" w:lineRule="auto"/>
      </w:pPr>
      <w:r>
        <w:separator/>
      </w:r>
    </w:p>
  </w:footnote>
  <w:footnote w:type="continuationSeparator" w:id="0">
    <w:p w14:paraId="6D655690" w14:textId="77777777" w:rsidR="00BA506B" w:rsidRDefault="00BA506B" w:rsidP="00F523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trackRevisions/>
  <w:documentProtection w:edit="trackedChanges" w:enforcement="1" w:cryptProviderType="rsaFull" w:cryptAlgorithmClass="hash" w:cryptAlgorithmType="typeAny" w:cryptAlgorithmSid="4" w:cryptSpinCount="100000" w:hash="ucwaaqdbnDh+X/ZjOueC5YunHWc=" w:salt="DMIP6yetEGl7xRwVet0jRg==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CCE"/>
    <w:rsid w:val="00645E9E"/>
    <w:rsid w:val="008B39C0"/>
    <w:rsid w:val="00986454"/>
    <w:rsid w:val="009D1CD5"/>
    <w:rsid w:val="00B11D8E"/>
    <w:rsid w:val="00B3493C"/>
    <w:rsid w:val="00B71260"/>
    <w:rsid w:val="00BA506B"/>
    <w:rsid w:val="00DA508F"/>
    <w:rsid w:val="00F05CCE"/>
    <w:rsid w:val="00F215D5"/>
    <w:rsid w:val="00F523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9C43BE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39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39C0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9D1CD5"/>
    <w:pPr>
      <w:spacing w:after="120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Основной текст Знак"/>
    <w:basedOn w:val="a0"/>
    <w:link w:val="a5"/>
    <w:rsid w:val="009D1CD5"/>
    <w:rPr>
      <w:rFonts w:ascii="Calibri" w:eastAsia="Times New Roman" w:hAnsi="Calibri" w:cs="Times New Roman"/>
      <w:lang w:eastAsia="ru-RU"/>
    </w:rPr>
  </w:style>
  <w:style w:type="paragraph" w:styleId="a7">
    <w:name w:val="List Paragraph"/>
    <w:basedOn w:val="a"/>
    <w:uiPriority w:val="99"/>
    <w:qFormat/>
    <w:rsid w:val="009D1CD5"/>
    <w:pPr>
      <w:ind w:left="720"/>
      <w:contextualSpacing/>
    </w:pPr>
  </w:style>
  <w:style w:type="paragraph" w:styleId="a8">
    <w:name w:val="footer"/>
    <w:basedOn w:val="a"/>
    <w:link w:val="a9"/>
    <w:uiPriority w:val="99"/>
    <w:unhideWhenUsed/>
    <w:rsid w:val="00F523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52399"/>
  </w:style>
  <w:style w:type="character" w:styleId="aa">
    <w:name w:val="page number"/>
    <w:basedOn w:val="a0"/>
    <w:uiPriority w:val="99"/>
    <w:semiHidden/>
    <w:unhideWhenUsed/>
    <w:rsid w:val="00F52399"/>
  </w:style>
  <w:style w:type="paragraph" w:styleId="ab">
    <w:name w:val="header"/>
    <w:basedOn w:val="a"/>
    <w:link w:val="ac"/>
    <w:uiPriority w:val="99"/>
    <w:unhideWhenUsed/>
    <w:rsid w:val="00BA50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BA506B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39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39C0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9D1CD5"/>
    <w:pPr>
      <w:spacing w:after="120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Основной текст Знак"/>
    <w:basedOn w:val="a0"/>
    <w:link w:val="a5"/>
    <w:rsid w:val="009D1CD5"/>
    <w:rPr>
      <w:rFonts w:ascii="Calibri" w:eastAsia="Times New Roman" w:hAnsi="Calibri" w:cs="Times New Roman"/>
      <w:lang w:eastAsia="ru-RU"/>
    </w:rPr>
  </w:style>
  <w:style w:type="paragraph" w:styleId="a7">
    <w:name w:val="List Paragraph"/>
    <w:basedOn w:val="a"/>
    <w:uiPriority w:val="99"/>
    <w:qFormat/>
    <w:rsid w:val="009D1CD5"/>
    <w:pPr>
      <w:ind w:left="720"/>
      <w:contextualSpacing/>
    </w:pPr>
  </w:style>
  <w:style w:type="paragraph" w:styleId="a8">
    <w:name w:val="footer"/>
    <w:basedOn w:val="a"/>
    <w:link w:val="a9"/>
    <w:uiPriority w:val="99"/>
    <w:unhideWhenUsed/>
    <w:rsid w:val="00F523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52399"/>
  </w:style>
  <w:style w:type="character" w:styleId="aa">
    <w:name w:val="page number"/>
    <w:basedOn w:val="a0"/>
    <w:uiPriority w:val="99"/>
    <w:semiHidden/>
    <w:unhideWhenUsed/>
    <w:rsid w:val="00F52399"/>
  </w:style>
  <w:style w:type="paragraph" w:styleId="ab">
    <w:name w:val="header"/>
    <w:basedOn w:val="a"/>
    <w:link w:val="ac"/>
    <w:uiPriority w:val="99"/>
    <w:unhideWhenUsed/>
    <w:rsid w:val="00BA50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BA50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footer" Target="footer1.xml"/><Relationship Id="rId9" Type="http://schemas.openxmlformats.org/officeDocument/2006/relationships/footer" Target="footer2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4</Pages>
  <Words>765</Words>
  <Characters>4365</Characters>
  <Application>Microsoft Macintosh Word</Application>
  <DocSecurity>0</DocSecurity>
  <Lines>36</Lines>
  <Paragraphs>10</Paragraphs>
  <ScaleCrop>false</ScaleCrop>
  <Company/>
  <LinksUpToDate>false</LinksUpToDate>
  <CharactersWithSpaces>5120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Sergey</cp:lastModifiedBy>
  <cp:revision>7</cp:revision>
  <cp:lastPrinted>2014-05-05T19:20:00Z</cp:lastPrinted>
  <dcterms:created xsi:type="dcterms:W3CDTF">2014-05-05T17:55:00Z</dcterms:created>
  <dcterms:modified xsi:type="dcterms:W3CDTF">2014-05-05T19:29:00Z</dcterms:modified>
</cp:coreProperties>
</file>